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6" w:history="1">
        <w:r>
          <w:rPr>
            <w:rFonts w:ascii="Arial" w:hAnsi="Arial" w:eastAsia="Arial" w:cs="Arial"/>
            <w:color w:val="155CAA"/>
            <w:u w:val="single"/>
          </w:rPr>
          <w:t xml:space="preserve">1 2024/ IN078 Advies leidraad afweging maatregelen Financieel Fit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6"/>
      <w:r w:rsidRPr="00A448AC">
        <w:rPr>
          <w:rFonts w:ascii="Arial" w:hAnsi="Arial" w:cs="Arial"/>
          <w:b/>
          <w:bCs/>
          <w:color w:val="303F4C"/>
          <w:lang w:val="en-US"/>
        </w:rPr>
        <w:t>2024/ IN078 Advies leidraad afweging maatregelen Financieel Fit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IN078-Advies-leidraad-afweging-maatregelen-Financieel-Fit-West-Betuwe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IN078-Bijlage-RIN-auditcommissie-Afwegingsleidraad-Financieel-Fit-West-Betuwe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78-Advies-leidraad-afweging-maatregelen-Financieel-Fit-West-Betuwe.pdf" TargetMode="External" /><Relationship Id="rId25" Type="http://schemas.openxmlformats.org/officeDocument/2006/relationships/hyperlink" Target="https://gemeenteraad.westbetuwe.nl//Raadsinformatie/IN078-Bijlage-RIN-auditcommissie-Afwegingsleidraad-Financieel-Fit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