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07:03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05" text:style-name="Internet_20_link" text:visited-style-name="Visited_20_Internet_20_Link">
              <text:span text:style-name="ListLabel_20_28">
                <text:span text:style-name="T8">1 2024/IN070 Raadsinformatienota Jaarverslag Klachtenafhandeling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05"/>
        2024/IN070 Raadsinformatienota Jaarverslag Klachtenafhandeling 2023
        <text:bookmark-end text:name="20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13-06-2024 14:01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IN070-Raadsinformatienota-Jaarverslag-Klachtenafhandeling-2023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90,33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70-Raadsinformatienota-Jaarverslag-Klachtenafhandel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IN070-Bijlage-Jaarverslag-Klachtenafhandeling-2023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125,48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70-Bijlage-Jaarverslag-Klachtenafhandelin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7" meta:character-count="527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