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53" w:history="1">
        <w:r>
          <w:rPr>
            <w:rFonts w:ascii="Arial" w:hAnsi="Arial" w:eastAsia="Arial" w:cs="Arial"/>
            <w:color w:val="155CAA"/>
            <w:u w:val="single"/>
          </w:rPr>
          <w:t xml:space="preserve">1 2024/IN059 Transitievisie Warmte 2.0 en Lokale Aanpak Isolatie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53"/>
      <w:r w:rsidRPr="00A448AC">
        <w:rPr>
          <w:rFonts w:ascii="Arial" w:hAnsi="Arial" w:cs="Arial"/>
          <w:b/>
          <w:bCs/>
          <w:color w:val="303F4C"/>
          <w:lang w:val="en-US"/>
        </w:rPr>
        <w:t>2024/IN059 Transitievisie Warmte 2.0 en Lokale Aanpak Isolatie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 11:46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IN059-Transitievisie-Warmte-2-0-en-Lokale-Aanpak-Isolatie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59-Transitievisie-Warmte-2-0-en-Lokale-Aanpak-Isola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