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11" w:history="1">
        <w:r>
          <w:rPr>
            <w:rFonts w:ascii="Arial" w:hAnsi="Arial" w:eastAsia="Arial" w:cs="Arial"/>
            <w:color w:val="155CAA"/>
            <w:u w:val="single"/>
          </w:rPr>
          <w:t xml:space="preserve">1 2024/IN044 Onderzoek kostenverdeelsystematiek binnen VRGZ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11"/>
      <w:r w:rsidRPr="00A448AC">
        <w:rPr>
          <w:rFonts w:ascii="Arial" w:hAnsi="Arial" w:cs="Arial"/>
          <w:b/>
          <w:bCs/>
          <w:color w:val="303F4C"/>
          <w:lang w:val="en-US"/>
        </w:rPr>
        <w:t>2024/IN044 Onderzoek kostenverdeelsystematiek binnen VRGZ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 09:57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IN044-Onderzoek-kostenverdeelsystematiek-binnen-VRGZ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44-Onderzoek-kostenverdeelsystematiek-binnen-VRG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