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9" w:history="1">
        <w:r>
          <w:rPr>
            <w:rFonts w:ascii="Arial" w:hAnsi="Arial" w:eastAsia="Arial" w:cs="Arial"/>
            <w:color w:val="155CAA"/>
            <w:u w:val="single"/>
          </w:rPr>
          <w:t xml:space="preserve">1 2024/IN019-Stand-van-zaken-MIRT-A2-begin-2024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9"/>
      <w:r w:rsidRPr="00A448AC">
        <w:rPr>
          <w:rFonts w:ascii="Arial" w:hAnsi="Arial" w:cs="Arial"/>
          <w:b/>
          <w:bCs/>
          <w:color w:val="303F4C"/>
          <w:lang w:val="en-US"/>
        </w:rPr>
        <w:t>2024/IN019-Stand-van-zaken-MIRT-A2-begin-2024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 17:40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IN019-Stand-van-zaken-MIRT-A2-begin-2024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IN019-Bijlage-1-RIN-MIRT-A2-begin-2024-Brandbrief-regio-Rivierenland-betreffende-A2-Deil-Vught-minister-Harbers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IN019-Bijlage-2-RIN-MIRT A2-Motie-Grinwis-en-Van-Dijk-A2-Deil-Vught-alternatieve-aanwending-gereserveerde-middelen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IN019-Bijlage-3-RIN-MIRT-A2-begin-2024-Eindrapportage-verkenning-Carpoolplaatsen-A2-Deil-Vught-geanonimiseerd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9-Stand-van-zaken-MIRT-A2-begin-2024.pdf" TargetMode="External" /><Relationship Id="rId25" Type="http://schemas.openxmlformats.org/officeDocument/2006/relationships/hyperlink" Target="https://gemeenteraad.westbetuwe.nl//Raadsinformatie/IN019-Bijlage-1-RIN-MIRT-A2-begin-2024-Brandbrief-regio-Rivierenland-betreffende-A2-Deil-Vught-minister-Harbers.pdf" TargetMode="External" /><Relationship Id="rId26" Type="http://schemas.openxmlformats.org/officeDocument/2006/relationships/hyperlink" Target="https://gemeenteraad.westbetuwe.nl//Raadsinformatie/IN019-Bijlage-2-RIN-MIRT-A2-Motie-Grinwis-en-Van-Dijk-A2-Deil-Vught-alternatieve-aanwending-gereserveerde-middelen.pdf" TargetMode="External" /><Relationship Id="rId27" Type="http://schemas.openxmlformats.org/officeDocument/2006/relationships/hyperlink" Target="https://gemeenteraad.westbetuwe.nl//Raadsinformatie/IN019-Bijlage-3-RIN-MIRT-A2-begin-2024-Eindrapportage-verkenning-Carpoolplaatsen-A2-Deil-Vught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