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19:58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1839" text:style-name="Internet_20_link" text:visited-style-name="Visited_20_Internet_20_Link">
          <text:span text:style-name="ListLabel_20_28">
            <text:span text:style-name="T8">1 2024/IN019-Stand-van-zaken-MIRT-A2-begin-2024</text:span>
          </text:span>
        </text:a>
      </text:p>
      <text:list text:style-name="WW8Num1">
        <text:list-item>
          <text:p text:style-name="P2" loext:marker-style-name="T5">
            <text:a xlink:type="simple" xlink:href="#183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39"/>
        2024/IN019-Stand-van-zaken-MIRT-A2-begin-2024
        <text:bookmark-end text:name="18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14-02-2024 17:40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IN019-Stand-van-zaken-MIRT-A2-begin-2024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148,86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19-Stand-van-zaken-MIRT-A2-begin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IN019-Bijlage-1-RIN-MIRT-A2-begin-2024-Brandbrief-regio-Rivierenland-betreffende-A2-Deil-Vught-minister-Harbers
              <text:span text:style-name="T3"/>
            </text:p>
            <text:p text:style-name="P7"/>
          </table:table-cell>
          <table:table-cell table:style-name="Table4.A2" office:value-type="string">
            <text:p text:style-name="P8">14-02-2024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75,27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19-Bijlage-1-RIN-MIRT-A2-begin-2024-Brandbrief-regio-Rivierenland-betreffende-A2-Deil-Vught-minister-Harb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IN019-Bijlage-2-RIN-MIRT A2-Motie-Grinwis-en-Van-Dijk-A2-Deil-Vught-alternatieve-aanwending-gereserveerde-middelen
              <text:span text:style-name="T3"/>
            </text:p>
            <text:p text:style-name="P7"/>
          </table:table-cell>
          <table:table-cell table:style-name="Table4.A2" office:value-type="string">
            <text:p text:style-name="P8">14-02-2024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20,72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19-Bijlage-2-RIN-MIRT-A2-Motie-Grinwis-en-Van-Dijk-A2-Deil-Vught-alternatieve-aanwending-gereserveerde-midd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IN019-Bijlage-3-RIN-MIRT-A2-begin-2024-Eindrapportage-verkenning-Carpoolplaatsen-A2-Deil-Vught-geanonimiseerd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19-Bijlage-3-RIN-MIRT-A2-begin-2024-Eindrapportage-verkenning-Carpoolplaatsen-A2-Deil-Vught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6" meta:word-count="64" meta:character-count="805" meta:non-whitespace-character-count="7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