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6" w:history="1">
        <w:r>
          <w:rPr>
            <w:rFonts w:ascii="Arial" w:hAnsi="Arial" w:eastAsia="Arial" w:cs="Arial"/>
            <w:color w:val="155CAA"/>
            <w:u w:val="single"/>
          </w:rPr>
          <w:t xml:space="preserve">1 2024/IN013-Jaarlijkse-evaluatie-duurzaamheidslening-en-toekomstbestendig-wonen-lening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6"/>
      <w:r w:rsidRPr="00A448AC">
        <w:rPr>
          <w:rFonts w:ascii="Arial" w:hAnsi="Arial" w:cs="Arial"/>
          <w:b/>
          <w:bCs/>
          <w:color w:val="303F4C"/>
          <w:lang w:val="en-US"/>
        </w:rPr>
        <w:t>2024/IN013-Jaarlijkse-evaluatie-duurzaamheidslening-en-toekomstbestendig-wonen-lening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IN013-Jaarlijkse-evaluatie-duurzaamheidslening-en-toekomstbestendig-wonen-lening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3-Jaarlijkse-evaluatie-duurzaamheidslening-en-toekomstbestendig-wonen-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