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97" text:style-name="Internet_20_link" text:visited-style-name="Visited_20_Internet_20_Link">
              <text:span text:style-name="ListLabel_20_28">
                <text:span text:style-name="T8">1 2023/IN063 Regionale-aanpak-implementatie-Wet-gemeenschappelijke-regelingen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7"/>
        2023/IN063 Regionale-aanpak-implementatie-Wet-gemeenschappelijke-regelingen
        <text:bookmark-end text:name="15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26-06-2023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IN063-Regionale-aanpak-implementatie-Wet-gemeenschappelijke-regelingen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3-Regionale-aanpak-implementatie-Wet-gemeenschappelijke-reg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IN063-Bijlage-Startnotitie-regionale-implementatie-Wgr-definitief-juni-2023
              <text:span text:style-name="T3"/>
            </text:p>
            <text:p text:style-name="P7"/>
          </table:table-cell>
          <table:table-cell table:style-name="Table4.A2" office:value-type="string">
            <text:p text:style-name="P8">26-06-2023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3-Bijlage-Startnotitie-regionale-implementatie-Wgr-definitief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1" meta:character-count="576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