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3" w:history="1">
        <w:r>
          <w:rPr>
            <w:rFonts w:ascii="Arial" w:hAnsi="Arial" w:eastAsia="Arial" w:cs="Arial"/>
            <w:color w:val="155CAA"/>
            <w:u w:val="single"/>
          </w:rPr>
          <w:t xml:space="preserve">1 2023/IN031 Actief openbaar maken van de onderzoeksinformatie over de milieusituatie rondom geluidwal en golfbaan The Dutch in aanleg.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3"/>
      <w:r w:rsidRPr="00A448AC">
        <w:rPr>
          <w:rFonts w:ascii="Arial" w:hAnsi="Arial" w:cs="Arial"/>
          <w:b/>
          <w:bCs/>
          <w:color w:val="303F4C"/>
          <w:lang w:val="en-US"/>
        </w:rPr>
        <w:t>2023/IN031 Actief openbaar maken van de onderzoeksinformatie over de milieusituatie rondom geluidwal en golfbaan The Dutch in aanleg.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IN031-actief-openbaar-maken-van-de-onderzoeksinformatie-over-de-milieusituatie-rondom-geluidwal- en-golfbaan-The--Dutch-in-aanleg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1-milieusituatie-rondom-geluidwal-en-golfbaan-The-Dutc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