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2" w:history="1">
        <w:r>
          <w:rPr>
            <w:rFonts w:ascii="Arial" w:hAnsi="Arial" w:eastAsia="Arial" w:cs="Arial"/>
            <w:color w:val="155CAA"/>
            <w:u w:val="single"/>
          </w:rPr>
          <w:t xml:space="preserve">1 2023/IN017 Intrekken beleidsregels energietoeslag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2"/>
      <w:r w:rsidRPr="00A448AC">
        <w:rPr>
          <w:rFonts w:ascii="Arial" w:hAnsi="Arial" w:cs="Arial"/>
          <w:b/>
          <w:bCs/>
          <w:color w:val="303F4C"/>
          <w:lang w:val="en-US"/>
        </w:rPr>
        <w:t>2023/IN017 Intrekken beleidsregels energietoeslag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IN017-Intrekken-beleidsregels-energietoeslag-2023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17-Intrekken-beleidsregels-energietoesla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