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3" w:history="1">
        <w:r>
          <w:rPr>
            <w:rFonts w:ascii="Arial" w:hAnsi="Arial" w:eastAsia="Arial" w:cs="Arial"/>
            <w:color w:val="155CAA"/>
            <w:u w:val="single"/>
          </w:rPr>
          <w:t xml:space="preserve">1 2022/IN115-lokaal-maatwerk-gastvrije-Waaldijk-fase-2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3"/>
      <w:r w:rsidRPr="00A448AC">
        <w:rPr>
          <w:rFonts w:ascii="Arial" w:hAnsi="Arial" w:cs="Arial"/>
          <w:b/>
          <w:bCs/>
          <w:color w:val="303F4C"/>
          <w:lang w:val="en-US"/>
        </w:rPr>
        <w:t>2022/IN115-lokaal-maatwerk-gastvrije-Waaldijk-fase-2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IN115-lokaal-maatwerk-gastvrije-Waaldijk-fase-2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5-lokaal-maatwerk-gastvrije-Waaldijk-fas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