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70" text:style-name="Internet_20_link" text:visited-style-name="Visited_20_Internet_20_Link">
              <text:span text:style-name="ListLabel_20_28">
                <text:span text:style-name="T8">1 2022/IN079-herbestemmingen-kunstobjecten-voormalige-gemeentehuizen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70"/>
        2022/IN079-herbestemmingen-kunstobjecten-voormalige-gemeentehuizen
        <text:bookmark-end text:name="7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09-08-2022 21:33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IN079-herbestemmingen-kunstobjecten-voormalige-gemeentehuizen
              <text:span text:style-name="T3"/>
            </text:p>
            <text:p text:style-name="P7"/>
          </table:table-cell>
          <table:table-cell table:style-name="Table4.A2" office:value-type="string">
            <text:p text:style-name="P8">09-08-2022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79-herbestemmingen-kunstobjecten-voormalige-gemeente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IN079-bijlage inventarisatie-herbestemmingen-kunstobjecten-voormalige-gemeentehuizen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79-bijlage-inventarisatie-herbestemmingen-kunstobjecten-voormalige-gemeentehui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0" meta:character-count="557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