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1" w:history="1">
        <w:r>
          <w:rPr>
            <w:rFonts w:ascii="Arial" w:hAnsi="Arial" w:eastAsia="Arial" w:cs="Arial"/>
            <w:color w:val="155CAA"/>
            <w:u w:val="single"/>
          </w:rPr>
          <w:t xml:space="preserve">1 2022/IN067 Uitwerking motie D66 Regeling meerkosten chronisch zieken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1"/>
      <w:r w:rsidRPr="00A448AC">
        <w:rPr>
          <w:rFonts w:ascii="Arial" w:hAnsi="Arial" w:cs="Arial"/>
          <w:b/>
          <w:bCs/>
          <w:color w:val="303F4C"/>
          <w:lang w:val="en-US"/>
        </w:rPr>
        <w:t>2022/IN067 Uitwerking motie D66 Regeling meerkosten chronisch zieken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IN067 Uitwerking motie D66 Regeling meerkosten chronisch zieken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7-Uitwerking-motie-D66-Regeling-meerkosten-chronisch-zie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