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74" w:history="1">
        <w:r>
          <w:rPr>
            <w:rFonts w:ascii="Arial" w:hAnsi="Arial" w:eastAsia="Arial" w:cs="Arial"/>
            <w:color w:val="155CAA"/>
            <w:u w:val="single"/>
          </w:rPr>
          <w:t xml:space="preserve">1 2022/IN023 Invulling en huidige stand van zaken Gezinsloket  gemeente West 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74"/>
      <w:r w:rsidRPr="00A448AC">
        <w:rPr>
          <w:rFonts w:ascii="Arial" w:hAnsi="Arial" w:cs="Arial"/>
          <w:b/>
          <w:bCs/>
          <w:color w:val="303F4C"/>
          <w:lang w:val="en-US"/>
        </w:rPr>
        <w:t>2022/IN023 Invulling en huidige stand van zaken Gezinsloket  gemeente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07-02-2022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IN023 Invulling en huidige stand van zaken van het Gezinsloket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sinformatienotas/IN023-Gezinslok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