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01:53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9" text:style-name="Internet_20_link" text:visited-style-name="Visited_20_Internet_20_Link">
              <text:span text:style-name="ListLabel_20_28">
                <text:span text:style-name="T8">1 2021/IN069 Implementatienota Omgevingswet en Omgevingsloket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9"/>
        2021/IN069 Implementatienota Omgevingswet en Omgevingsloket
        <text:bookmark-end text:name="2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29-06-2021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09-06-2021 10:45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IN069 Implementatienota Omgevingswet en Omgevingsloket
              <text:span text:style-name="T3"/>
            </text:p>
            <text:p text:style-name="P7"/>
          </table:table-cell>
          <table:table-cell table:style-name="Table5.A2" office:value-type="string">
            <text:p text:style-name="P8">09-06-2021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510,97 KB</text:p>
          </table:table-cell>
          <table:table-cell table:style-name="Table5.A2" office:value-type="string">
            <text:p text:style-name="P33">
              <text:a xlink:type="simple" xlink:href="https://gemeenteraad.westbetuwe.nl//raadsinformatie/Raadsinformatienotas/IN069-Implementatienota-Omgevingswet-en-Omgevingslok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60" meta:character-count="487" meta:non-whitespace-character-count="4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516858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516858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