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" text:style-name="Internet_20_link" text:visited-style-name="Visited_20_Internet_20_Link">
              <text:span text:style-name="ListLabel_20_28">
                <text:span text:style-name="T8">1 2021/IN034 Actualisering plan van aanpak De Griend Waardenburg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"/>
        2021/IN034 Actualisering plan van aanpak De Griend Waardenburg
        <text:bookmark-end text:name="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15-02-2021 12:56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IN034 actualisering plan van aanpak De Griend Waardenburg
              <text:span text:style-name="T3"/>
            </text:p>
            <text:p text:style-name="P7"/>
          </table:table-cell>
          <table:table-cell table:style-name="Table5.A2" office:value-type="string">
            <text:p text:style-name="P8">15-02-2021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317,77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34-actualisering-plan-van-aanpak-De-Griend-Waard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9" meta:character-count="496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