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" text:style-name="Internet_20_link" text:visited-style-name="Visited_20_Internet_20_Link">
              <text:span text:style-name="ListLabel_20_28">
                <text:span text:style-name="T8">1 2021/IN032 Vastgestelde nota Kostenverhaal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"/>
        2021/IN032 Vastgestelde nota Kostenverhaal
        <text:bookmark-end text:name="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15-02-2021 12:53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IN032 Vastgestelde nota Kostenverhaal
              <text:span text:style-name="T3"/>
            </text:p>
            <text:p text:style-name="P7"/>
          </table:table-cell>
          <table:table-cell table:style-name="Table5.A2" office:value-type="string">
            <text:p text:style-name="P8">15-02-2021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277,77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32-Vastgestelde-nota-Kostenverh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IN032 Bijlage Nota Kostenverhaal 2021
              <text:span text:style-name="T3"/>
            </text:p>
            <text:p text:style-name="P7"/>
          </table:table-cell>
          <table:table-cell table:style-name="Table5.A2" office:value-type="string">
            <text:p text:style-name="P8">15-02-2021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870,24 KB</text:p>
          </table:table-cell>
          <table:table-cell table:style-name="Table5.A2" office:value-type="string">
            <text:p text:style-name="P33">
              <text:a xlink:type="simple" xlink:href="https://gemeenteraad.westbetuwe.nl//Raadsinformatie/Bijlage/IN032-Bijlage-Nota-Kostenverhaa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8" meta:character-count="504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