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" w:history="1">
        <w:r>
          <w:rPr>
            <w:rFonts w:ascii="Arial" w:hAnsi="Arial" w:eastAsia="Arial" w:cs="Arial"/>
            <w:color w:val="155CAA"/>
            <w:u w:val="single"/>
          </w:rPr>
          <w:t xml:space="preserve">1 2021/IN007 Toekomstbestendig wonen lening en de duurzaamheidslening...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"/>
      <w:r w:rsidRPr="00A448AC">
        <w:rPr>
          <w:rFonts w:ascii="Arial" w:hAnsi="Arial" w:cs="Arial"/>
          <w:b/>
          <w:bCs/>
          <w:color w:val="303F4C"/>
          <w:lang w:val="en-US"/>
        </w:rPr>
        <w:t>2021/IN007 Toekomstbestendig wonen lening en de duurzaamheidslening...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IN007 Toekomstbestendig wonen lening en de duurzaamheidslening...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IN007 Bijlage overzicht toekomstbestendig wonen lening en duurzaamheidslening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07-Toekomstbestendig-wonen-lening-en-de-duurzaamheidslening-1.pdf" TargetMode="External" /><Relationship Id="rId25" Type="http://schemas.openxmlformats.org/officeDocument/2006/relationships/hyperlink" Target="https://gemeenteraad.westbetuwe.nl//Raadsinformatie/Bijlage/IN007-Bijlage-overzicht-toekomstbestendig-wonen-lening-en-duurzaamheids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