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6" w:history="1">
        <w:r>
          <w:rPr>
            <w:rFonts w:ascii="Arial" w:hAnsi="Arial" w:eastAsia="Arial" w:cs="Arial"/>
            <w:color w:val="155CAA"/>
            <w:u w:val="single"/>
          </w:rPr>
          <w:t xml:space="preserve">1 2020/IN158 Nadere informatie kunstgras watervelden hockey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6"/>
      <w:r w:rsidRPr="00A448AC">
        <w:rPr>
          <w:rFonts w:ascii="Arial" w:hAnsi="Arial" w:cs="Arial"/>
          <w:b/>
          <w:bCs/>
          <w:color w:val="303F4C"/>
          <w:lang w:val="en-US"/>
        </w:rPr>
        <w:t>2020/IN158 Nadere informatie kunstgras watervelden hockey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15:17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IN158 Nadere informatie kunstgras watervelden hockey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158-Nadere-informatie-kunstgras-watervelden-hocke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