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23:40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3" text:style-name="Internet_20_link" text:visited-style-name="Visited_20_Internet_20_Link">
              <text:span text:style-name="ListLabel_20_28">
                <text:span text:style-name="T8">1 2020/IN125 Beantwoording art. 50-vragen Leefbaar Lokaal Belang over radarstation Herwijnen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3"/>
        2020/IN125 Beantwoording art. 50-vragen Leefbaar Lokaal Belang over radarstation Herwijnen
        <text:bookmark-end text:name="14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12-06-2023 14:48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IN125 Beantwoording artikel 50-vragen LLB radarstation Herwijnen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280,32 KB</text:p>
          </table:table-cell>
          <table:table-cell table:style-name="Table4.A2" office:value-type="string">
            <text:p text:style-name="P33">
              <text:a xlink:type="simple" xlink:href="https://gemeenteraad.westbetuwe.nl//raadsinformatie/Schriftelijke-vragen/IN125-Beantwoording-artikel-50-vragen-LLB-radarstation-Herw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95" meta:non-whitespace-character-count="4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