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0" w:history="1">
        <w:r>
          <w:rPr>
            <w:rFonts w:ascii="Arial" w:hAnsi="Arial" w:eastAsia="Arial" w:cs="Arial"/>
            <w:color w:val="155CAA"/>
            <w:u w:val="single"/>
          </w:rPr>
          <w:t xml:space="preserve">1 2020/IN027 Voortgang Regionale Adaptatie Strategie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0"/>
      <w:r w:rsidRPr="00A448AC">
        <w:rPr>
          <w:rFonts w:ascii="Arial" w:hAnsi="Arial" w:cs="Arial"/>
          <w:b/>
          <w:bCs/>
          <w:color w:val="303F4C"/>
          <w:lang w:val="en-US"/>
        </w:rPr>
        <w:t>2020/IN027 Voortgang Regionale Adaptatie Strategie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IN027 Voortgang Regionale Adaptatie Strategie__47851__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IN027 Bijlage 2019-12-16_Startnotitie Klimaat adaptief Rivierenland_Concept 2.0 RR__47864__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27-Voortgang-Regionale-Adaptatie-Strategie-47851.pdf" TargetMode="External" /><Relationship Id="rId25" Type="http://schemas.openxmlformats.org/officeDocument/2006/relationships/hyperlink" Target="https://gemeenteraad.westbetuwe.nl//Vergaderingen/Lijst-ingekomen-stukken/2020/03-maart/20:00/IN027-Bijlage-2019-12-16-Startnotitie-Klimaat-adaptief-Rivierenland-Concept-2-0-RR-478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