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743929359823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Raadsinformatienota’s vanaf 01-01-2021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51" w:history="1">
        <w:r>
          <w:rPr>
            <w:rFonts w:ascii="Arial" w:hAnsi="Arial" w:eastAsia="Arial" w:cs="Arial"/>
            <w:color w:val="155CAA"/>
            <w:u w:val="single"/>
          </w:rPr>
          <w:t xml:space="preserve">1 2023/IN019-Kwartaalrapportages-verbonden-partijen-kwartaal-4-2022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51"/>
      <w:r w:rsidRPr="00A448AC">
        <w:rPr>
          <w:rFonts w:ascii="Arial" w:hAnsi="Arial" w:cs="Arial"/>
          <w:b/>
          <w:bCs/>
          <w:color w:val="303F4C"/>
          <w:lang w:val="en-US"/>
        </w:rPr>
        <w:t>2023/IN019-Kwartaalrapportages-verbonden-partijen-kwartaal-4-2022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 11:16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IN019-Kwartaalrapportages-verbonden-partijen-kwartaal-4-2022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277,23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westbetuwe.nl//Raadsinformatie/IN019-Kwartaalrapportages-verbonden-partijen-kwartaal-4-2022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